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A"/>
        <w:pBdr/>
        <w:rPr/>
      </w:pPr>
      <w:r>
        <w:rPr>
          <w:rFonts w:cs="Arial" w:ascii="Arial" w:hAnsi="Arial"/>
          <w:b/>
          <w:bCs/>
          <w:sz w:val="24"/>
          <w:szCs w:val="24"/>
          <w:u w:val="single"/>
          <w:shd w:fill="FEFFFF" w:val="clear"/>
        </w:rPr>
        <w:t>Modifications to the Constitutions</w:t>
      </w:r>
    </w:p>
    <w:p>
      <w:pPr>
        <w:pStyle w:val="Corpo"/>
        <w:rPr>
          <w:rFonts w:ascii="Times New Roman" w:hAnsi="Times New Roman" w:eastAsia="Arial" w:cs="Times New Roman"/>
          <w:b/>
          <w:b/>
          <w:bCs/>
          <w:sz w:val="24"/>
          <w:szCs w:val="24"/>
          <w:highlight w:val="cyan"/>
          <w:u w:val="single" w:color="000000"/>
          <w:lang w:eastAsia="it-IT"/>
          <w14:textOutline w14:w="0" w14:cap="rnd" w14:cmpd="sng" w14:algn="ctr">
            <w14:noFill/>
            <w14:prstDash w14:val="solid"/>
            <w14:bevel/>
          </w14:textOutline>
        </w:rPr>
      </w:pPr>
      <w:r>
        <w:rPr>
          <w:rFonts w:eastAsia="Arial" w:cs="Times New Roman" w:ascii="Times New Roman" w:hAnsi="Times New Roman"/>
          <w:b/>
          <w:bCs/>
          <w:sz w:val="24"/>
          <w:szCs w:val="24"/>
          <w:u w:val="single" w:color="000000"/>
          <w:shd w:fill="FEFFFF" w:val="clear"/>
          <w:lang w:eastAsia="it-IT"/>
          <w14:textOutline w14:w="0" w14:cap="rnd" w14:cmpd="sng" w14:algn="ctr">
            <w14:noFill/>
            <w14:prstDash w14:val="solid"/>
            <w14:bevel/>
          </w14:textOutline>
        </w:rPr>
      </w:r>
    </w:p>
    <w:p>
      <w:pPr>
        <w:pStyle w:val="Corpo"/>
        <w:rPr>
          <w:rFonts w:ascii="Times New Roman" w:hAnsi="Times New Roman" w:cs="Times New Roman"/>
          <w:b/>
          <w:b/>
          <w:bCs/>
          <w:sz w:val="24"/>
          <w:szCs w:val="24"/>
          <w:lang w:val="en-AU"/>
        </w:rPr>
      </w:pPr>
      <w:r>
        <w:rPr>
          <w:rFonts w:cs="Times New Roman" w:ascii="Times New Roman" w:hAnsi="Times New Roman"/>
          <w:b/>
          <w:bCs/>
          <w:sz w:val="24"/>
          <w:szCs w:val="24"/>
          <w:lang w:val="en-AU"/>
        </w:rPr>
        <w:t xml:space="preserve">1. </w:t>
        <w:tab/>
        <w:t>Ele</w:t>
      </w:r>
      <w:r>
        <w:rPr>
          <w:rFonts w:eastAsia="Times New Roman" w:cs="Times New Roman" w:ascii="Times New Roman" w:hAnsi="Times New Roman"/>
          <w:b/>
          <w:bCs/>
          <w:sz w:val="24"/>
          <w:szCs w:val="24"/>
          <w:lang w:val="en-AU"/>
        </w:rPr>
        <w:t>ction of the Rector Major</w:t>
      </w:r>
      <w:r>
        <w:rPr>
          <w:rFonts w:cs="Times New Roman" w:ascii="Times New Roman" w:hAnsi="Times New Roman"/>
          <w:sz w:val="24"/>
          <w:szCs w:val="24"/>
          <w:lang w:val="en-US"/>
        </w:rPr>
        <w:t xml:space="preserve"> </w:t>
      </w:r>
      <w:r>
        <w:rPr>
          <w:rFonts w:cs="Times New Roman" w:ascii="Times New Roman" w:hAnsi="Times New Roman"/>
          <w:b/>
          <w:bCs/>
          <w:sz w:val="24"/>
          <w:szCs w:val="24"/>
          <w:lang w:val="en-AU"/>
        </w:rPr>
        <w:t>(C. 128)</w:t>
      </w:r>
    </w:p>
    <w:p>
      <w:pPr>
        <w:pStyle w:val="Corpo"/>
        <w:ind w:left="708" w:hanging="0"/>
        <w:rPr>
          <w:rFonts w:ascii="Times New Roman" w:hAnsi="Times New Roman" w:cs="Times New Roman"/>
          <w:sz w:val="24"/>
          <w:szCs w:val="24"/>
          <w:lang w:val="en-AU" w:eastAsia="es-ES"/>
        </w:rPr>
      </w:pPr>
      <w:r>
        <w:rPr>
          <w:rFonts w:cs="Times New Roman" w:ascii="Times New Roman" w:hAnsi="Times New Roman"/>
          <w:sz w:val="24"/>
          <w:szCs w:val="24"/>
          <w:lang w:val="en-AU" w:eastAsia="es-ES"/>
        </w:rPr>
        <w:t>The Rector Major is elected by the General Chapter for a term of six years and may be re-elected only for a second six-year period. He may not resign his office without the consent of the Apostolic See.</w:t>
      </w:r>
    </w:p>
    <w:p>
      <w:pPr>
        <w:pStyle w:val="Corpo"/>
        <w:rPr>
          <w:rFonts w:ascii="Times New Roman" w:hAnsi="Times New Roman" w:cs="Times New Roman"/>
          <w:sz w:val="24"/>
          <w:szCs w:val="24"/>
          <w:lang w:val="en-US"/>
        </w:rPr>
      </w:pPr>
      <w:r>
        <w:rPr>
          <w:rFonts w:cs="Times New Roman" w:ascii="Times New Roman" w:hAnsi="Times New Roman"/>
          <w:sz w:val="24"/>
          <w:szCs w:val="24"/>
          <w:lang w:val="en-US"/>
        </w:rPr>
      </w:r>
    </w:p>
    <w:p>
      <w:pPr>
        <w:pStyle w:val="Corpo"/>
        <w:jc w:val="both"/>
        <w:rPr>
          <w:rFonts w:ascii="Times New Roman" w:hAnsi="Times New Roman" w:cs="Times New Roman"/>
          <w:sz w:val="24"/>
          <w:szCs w:val="24"/>
          <w:lang w:val="en-US"/>
        </w:rPr>
      </w:pPr>
      <w:r>
        <w:rPr>
          <w:rFonts w:cs="Times New Roman" w:ascii="Times New Roman" w:hAnsi="Times New Roman"/>
          <w:b/>
          <w:bCs/>
          <w:sz w:val="24"/>
          <w:szCs w:val="24"/>
          <w:lang w:val="en-AU"/>
        </w:rPr>
        <w:t xml:space="preserve">2. </w:t>
        <w:tab/>
        <w:t>Ele</w:t>
      </w:r>
      <w:r>
        <w:rPr>
          <w:rFonts w:eastAsia="Times New Roman" w:cs="Times New Roman" w:ascii="Times New Roman" w:hAnsi="Times New Roman"/>
          <w:b/>
          <w:bCs/>
          <w:sz w:val="24"/>
          <w:szCs w:val="24"/>
          <w:lang w:val="en-AU"/>
        </w:rPr>
        <w:t>ction of the Vicar of the Rector Major and Councillors</w:t>
      </w:r>
      <w:r>
        <w:rPr>
          <w:rFonts w:cs="Times New Roman" w:ascii="Times New Roman" w:hAnsi="Times New Roman"/>
          <w:sz w:val="24"/>
          <w:szCs w:val="24"/>
          <w:lang w:val="en-US"/>
        </w:rPr>
        <w:t xml:space="preserve"> </w:t>
      </w:r>
      <w:r>
        <w:rPr>
          <w:rFonts w:cs="Times New Roman" w:ascii="Times New Roman" w:hAnsi="Times New Roman"/>
          <w:b/>
          <w:bCs/>
          <w:sz w:val="24"/>
          <w:szCs w:val="24"/>
          <w:lang w:val="en-AU"/>
        </w:rPr>
        <w:t>(C. 142 §1)</w:t>
      </w:r>
    </w:p>
    <w:p>
      <w:pPr>
        <w:pStyle w:val="CorpoA"/>
        <w:pBdr/>
        <w:ind w:left="708" w:hanging="0"/>
        <w:jc w:val="both"/>
        <w:rPr>
          <w:rFonts w:ascii="Times New Roman" w:hAnsi="Times New Roman" w:cs="Times New Roman"/>
          <w:sz w:val="24"/>
          <w:szCs w:val="24"/>
          <w:lang w:val="en-US"/>
        </w:rPr>
      </w:pPr>
      <w:r>
        <w:rPr>
          <w:rFonts w:cs="Times New Roman" w:ascii="Times New Roman" w:hAnsi="Times New Roman"/>
          <w:sz w:val="24"/>
          <w:szCs w:val="24"/>
          <w:lang w:val="en-US"/>
        </w:rPr>
        <w:t>The Vicar General of the Rector Major remains in office for six years and can only be elected to the same office for a second six-year term.</w:t>
      </w:r>
    </w:p>
    <w:p>
      <w:pPr>
        <w:pStyle w:val="CorpoA"/>
        <w:pBdr/>
        <w:ind w:left="708" w:hanging="0"/>
        <w:jc w:val="both"/>
        <w:rPr>
          <w:rFonts w:ascii="Times New Roman" w:hAnsi="Times New Roman" w:cs="Times New Roman"/>
          <w:sz w:val="24"/>
          <w:szCs w:val="24"/>
          <w:lang w:val="en-US"/>
        </w:rPr>
      </w:pPr>
      <w:r>
        <w:rPr>
          <w:rFonts w:cs="Times New Roman" w:ascii="Times New Roman" w:hAnsi="Times New Roman"/>
          <w:sz w:val="24"/>
          <w:szCs w:val="24"/>
          <w:lang w:val="en-US"/>
        </w:rPr>
        <w:t>At the end of the first six years, the Vicar of the Rector Major can be elected General Councillor or Rector Major.</w:t>
      </w:r>
    </w:p>
    <w:p>
      <w:pPr>
        <w:pStyle w:val="CorpoA"/>
        <w:pBdr/>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t>At the end of the second six-year period, he can only be elected Rector Major.</w:t>
      </w:r>
    </w:p>
    <w:p>
      <w:pPr>
        <w:pStyle w:val="CorpoA"/>
        <w:pBdr/>
        <w:ind w:left="708" w:hanging="0"/>
        <w:jc w:val="both"/>
        <w:rPr>
          <w:rFonts w:ascii="Times New Roman" w:hAnsi="Times New Roman" w:cs="Times New Roman"/>
          <w:sz w:val="24"/>
          <w:szCs w:val="24"/>
          <w:lang w:val="en-US"/>
        </w:rPr>
      </w:pPr>
      <w:r>
        <w:rPr>
          <w:rFonts w:cs="Times New Roman" w:ascii="Times New Roman" w:hAnsi="Times New Roman"/>
          <w:sz w:val="24"/>
          <w:szCs w:val="24"/>
          <w:lang w:val="en-US"/>
        </w:rPr>
        <w:t>The General Councillors remain in office for six years. They can be elected to the same office or to another office, as General Councillors, only for a second six-year term.</w:t>
      </w:r>
    </w:p>
    <w:p>
      <w:pPr>
        <w:pStyle w:val="Corpo"/>
        <w:ind w:left="708" w:hanging="0"/>
        <w:jc w:val="both"/>
        <w:rPr>
          <w:rFonts w:ascii="Times New Roman" w:hAnsi="Times New Roman" w:cs="Times New Roman"/>
          <w:sz w:val="24"/>
          <w:szCs w:val="24"/>
          <w:lang w:val="en-US"/>
        </w:rPr>
      </w:pPr>
      <w:r>
        <w:rPr>
          <w:rFonts w:cs="Times New Roman" w:ascii="Times New Roman" w:hAnsi="Times New Roman"/>
          <w:sz w:val="24"/>
          <w:szCs w:val="24"/>
          <w:lang w:val="en-US"/>
        </w:rPr>
        <w:t>At the end of the first or second six-year period, the General Councillors can be elected Vicar General of the Rector Major or Rector Major.</w:t>
      </w:r>
    </w:p>
    <w:p>
      <w:pPr>
        <w:pStyle w:val="CorpoA"/>
        <w:pBdr/>
        <w:jc w:val="both"/>
        <w:rPr>
          <w:rFonts w:ascii="Times New Roman" w:hAnsi="Times New Roman" w:eastAsia="Arial" w:cs="Times New Roman"/>
          <w:b/>
          <w:b/>
          <w:bCs/>
          <w:sz w:val="24"/>
          <w:szCs w:val="24"/>
          <w:highlight w:val="cyan"/>
          <w:u w:val="single" w:color="000000"/>
          <w:lang w:val="en-AU"/>
        </w:rPr>
      </w:pPr>
      <w:r>
        <w:rPr>
          <w:rFonts w:eastAsia="Arial" w:cs="Times New Roman" w:ascii="Times New Roman" w:hAnsi="Times New Roman"/>
          <w:b/>
          <w:bCs/>
          <w:sz w:val="24"/>
          <w:szCs w:val="24"/>
          <w:u w:val="single" w:color="000000"/>
          <w:shd w:fill="FEFFFF" w:val="clear"/>
          <w:lang w:val="en-AU"/>
        </w:rPr>
      </w:r>
    </w:p>
    <w:p>
      <w:pPr>
        <w:pStyle w:val="CorpoA"/>
        <w:pBdr/>
        <w:rPr/>
      </w:pPr>
      <w:r>
        <w:rPr>
          <w:rFonts w:cs="Arial" w:ascii="Arial" w:hAnsi="Arial"/>
          <w:b/>
          <w:bCs/>
          <w:sz w:val="24"/>
          <w:szCs w:val="24"/>
          <w:u w:val="single"/>
          <w:shd w:fill="FEFFFF" w:val="clear"/>
        </w:rPr>
        <w:t>Modifications to the Regulations</w:t>
      </w:r>
    </w:p>
    <w:p>
      <w:pPr>
        <w:pStyle w:val="CorpoA"/>
        <w:pBdr/>
        <w:rPr>
          <w:rFonts w:ascii="Arial" w:hAnsi="Arial" w:eastAsia="Arial" w:cs="Arial"/>
          <w:b/>
          <w:b/>
          <w:bCs/>
          <w:sz w:val="24"/>
          <w:szCs w:val="24"/>
          <w:highlight w:val="cyan"/>
          <w:u w:val="single" w:color="000000"/>
        </w:rPr>
      </w:pPr>
      <w:r>
        <w:rPr>
          <w:rFonts w:eastAsia="Arial" w:cs="Arial" w:ascii="Arial" w:hAnsi="Arial"/>
          <w:b/>
          <w:bCs/>
          <w:sz w:val="24"/>
          <w:szCs w:val="24"/>
          <w:u w:val="single" w:color="000000"/>
          <w:shd w:fill="FEFFFF" w:val="clear"/>
        </w:rPr>
      </w:r>
    </w:p>
    <w:p>
      <w:pPr>
        <w:pStyle w:val="Corpo"/>
        <w:rPr>
          <w:rFonts w:ascii="Times New Roman" w:hAnsi="Times New Roman" w:cs="Times New Roman"/>
          <w:b/>
          <w:b/>
          <w:sz w:val="24"/>
          <w:szCs w:val="24"/>
          <w:lang w:val="en-US"/>
        </w:rPr>
      </w:pPr>
      <w:r>
        <w:rPr>
          <w:rFonts w:eastAsia="Times New Roman" w:cs="Times New Roman" w:ascii="Times New Roman" w:hAnsi="Times New Roman"/>
          <w:b/>
          <w:bCs/>
          <w:sz w:val="24"/>
          <w:szCs w:val="24"/>
          <w:lang w:val="en-AU"/>
        </w:rPr>
        <w:t xml:space="preserve">3. </w:t>
        <w:tab/>
        <w:t>Tasks of the Regional Councillor</w:t>
      </w:r>
      <w:r>
        <w:rPr>
          <w:rFonts w:cs="Times New Roman" w:ascii="Times New Roman" w:hAnsi="Times New Roman"/>
          <w:b/>
          <w:sz w:val="24"/>
          <w:szCs w:val="24"/>
          <w:lang w:val="en-US"/>
        </w:rPr>
        <w:t xml:space="preserve"> </w:t>
      </w:r>
      <w:r>
        <w:rPr>
          <w:rFonts w:cs="Times New Roman" w:ascii="Times New Roman" w:hAnsi="Times New Roman"/>
          <w:b/>
          <w:bCs/>
          <w:sz w:val="24"/>
          <w:szCs w:val="24"/>
          <w:lang w:val="en-AU"/>
        </w:rPr>
        <w:t>(R. 135)</w:t>
      </w:r>
    </w:p>
    <w:p>
      <w:pPr>
        <w:pStyle w:val="Normal"/>
        <w:spacing w:before="0" w:after="0"/>
        <w:ind w:left="708" w:hanging="0"/>
        <w:contextualSpacing/>
        <w:jc w:val="both"/>
        <w:rPr>
          <w:lang w:val="en-AU"/>
        </w:rPr>
      </w:pPr>
      <w:r>
        <w:rPr>
          <w:lang w:val="en-AU"/>
        </w:rPr>
        <w:t xml:space="preserve">The regional councillors will keep in touch with the individual provinces: they must visit them periodically, </w:t>
      </w:r>
      <w:r>
        <w:rPr>
          <w:bCs/>
          <w:lang w:val="en-AU"/>
        </w:rPr>
        <w:t>arranging meetings of provincial councils</w:t>
      </w:r>
      <w:r>
        <w:rPr>
          <w:lang w:val="en-AU"/>
        </w:rPr>
        <w:t>. In agreement with the provincials, they may meet with rectors and other groups of confreres and lay people to point out to them whatever they consider more opportune for the welfare of the Congregation and for the provision of a better service for the province and for the particular Church.</w:t>
      </w:r>
    </w:p>
    <w:p>
      <w:pPr>
        <w:pStyle w:val="CorpoA"/>
        <w:pBdr/>
        <w:ind w:left="708" w:hanging="0"/>
        <w:rPr>
          <w:rFonts w:ascii="Times New Roman" w:hAnsi="Times New Roman" w:cs="Times New Roman"/>
          <w:sz w:val="24"/>
          <w:szCs w:val="24"/>
          <w:highlight w:val="yellow"/>
          <w:lang w:val="en-AU"/>
        </w:rPr>
      </w:pPr>
      <w:r>
        <w:rPr>
          <w:rFonts w:cs="Times New Roman" w:ascii="Times New Roman" w:hAnsi="Times New Roman"/>
          <w:sz w:val="24"/>
          <w:szCs w:val="24"/>
          <w:lang w:val="en-AU"/>
        </w:rPr>
        <w:t>They shall have at least one annual meeting with all the provincials of the Region and liaise with bodies in the Re</w:t>
      </w:r>
      <w:bookmarkStart w:id="0" w:name="_GoBack"/>
      <w:bookmarkEnd w:id="0"/>
      <w:r>
        <w:rPr>
          <w:rFonts w:cs="Times New Roman" w:ascii="Times New Roman" w:hAnsi="Times New Roman"/>
          <w:sz w:val="24"/>
          <w:szCs w:val="24"/>
          <w:lang w:val="en-AU"/>
        </w:rPr>
        <w:t>gion, formation communities and any Provincial Conferences.</w:t>
      </w:r>
    </w:p>
    <w:p>
      <w:pPr>
        <w:pStyle w:val="CorpoA"/>
        <w:pBdr/>
        <w:rPr>
          <w:rFonts w:ascii="Times New Roman" w:hAnsi="Times New Roman" w:eastAsia="Arial" w:cs="Times New Roman"/>
          <w:sz w:val="24"/>
          <w:szCs w:val="24"/>
          <w:highlight w:val="cyan"/>
          <w:lang w:val="en-AU"/>
        </w:rPr>
      </w:pPr>
      <w:r>
        <w:rPr>
          <w:rFonts w:eastAsia="Arial" w:cs="Times New Roman" w:ascii="Times New Roman" w:hAnsi="Times New Roman"/>
          <w:sz w:val="24"/>
          <w:szCs w:val="24"/>
          <w:shd w:fill="FEFFFF" w:val="clear"/>
          <w:lang w:val="en-AU"/>
        </w:rPr>
      </w:r>
    </w:p>
    <w:p>
      <w:pPr>
        <w:pStyle w:val="CorpoA"/>
        <w:rPr/>
      </w:pPr>
      <w:r>
        <w:rPr>
          <w:rFonts w:cs="Times New Roman" w:ascii="Times New Roman" w:hAnsi="Times New Roman"/>
          <w:b/>
          <w:bCs/>
          <w:sz w:val="24"/>
          <w:szCs w:val="24"/>
        </w:rPr>
        <w:t xml:space="preserve">4. </w:t>
        <w:tab/>
      </w:r>
      <w:r>
        <w:rPr>
          <w:rFonts w:cs="Times New Roman" w:ascii="Times New Roman" w:hAnsi="Times New Roman"/>
          <w:b/>
          <w:bCs/>
          <w:sz w:val="24"/>
          <w:szCs w:val="24"/>
          <w:shd w:fill="FEFFFF" w:val="clear"/>
        </w:rPr>
        <w:t>Use of electronic systems for voting in elections</w:t>
      </w:r>
      <w:r>
        <w:rPr>
          <w:rFonts w:cs="Times New Roman" w:ascii="Times New Roman" w:hAnsi="Times New Roman"/>
          <w:b/>
          <w:bCs/>
          <w:sz w:val="24"/>
          <w:szCs w:val="24"/>
        </w:rPr>
        <w:t xml:space="preserve"> (R. 131)</w:t>
      </w:r>
    </w:p>
    <w:p>
      <w:pPr>
        <w:pStyle w:val="Corpo"/>
        <w:ind w:left="708" w:hanging="0"/>
        <w:jc w:val="both"/>
        <w:rPr/>
      </w:pPr>
      <w:r>
        <w:rPr>
          <w:rFonts w:eastAsia="Times New Roman" w:cs="Times New Roman" w:ascii="Times New Roman" w:hAnsi="Times New Roman"/>
          <w:sz w:val="24"/>
          <w:szCs w:val="24"/>
          <w:lang w:val="en-AU"/>
        </w:rPr>
        <w:t xml:space="preserve">The election procedure is to be carried out by means of an electronic system (intranet). All </w:t>
      </w:r>
      <w:r>
        <w:rPr>
          <w:rFonts w:eastAsia="Times New Roman" w:cs="Times New Roman" w:ascii="Times New Roman" w:hAnsi="Times New Roman"/>
          <w:sz w:val="24"/>
          <w:szCs w:val="24"/>
          <w:lang w:val="en-AU"/>
        </w:rPr>
        <w:t>C</w:t>
      </w:r>
      <w:r>
        <w:rPr>
          <w:rFonts w:eastAsia="Times New Roman" w:cs="Times New Roman" w:ascii="Times New Roman" w:hAnsi="Times New Roman"/>
          <w:sz w:val="24"/>
          <w:szCs w:val="24"/>
          <w:lang w:val="en-AU"/>
        </w:rPr>
        <w:t>hapter members are to have access to the personal details of the individual members who can be elected. The individual voters will express their vote by selecting the surname of the member for whom they wish to express a preference.</w:t>
      </w:r>
    </w:p>
    <w:p>
      <w:pPr>
        <w:pStyle w:val="Corpo"/>
        <w:ind w:left="708" w:hanging="0"/>
        <w:jc w:val="both"/>
        <w:rPr>
          <w:rFonts w:ascii="Times New Roman" w:hAnsi="Times New Roman" w:cs="Times New Roman"/>
          <w:sz w:val="24"/>
          <w:szCs w:val="24"/>
          <w:lang w:val="en-AU"/>
        </w:rPr>
      </w:pPr>
      <w:r>
        <w:rPr>
          <w:rFonts w:eastAsia="Times New Roman" w:cs="Times New Roman" w:ascii="Times New Roman" w:hAnsi="Times New Roman"/>
          <w:sz w:val="24"/>
          <w:szCs w:val="24"/>
          <w:lang w:val="en-AU"/>
        </w:rPr>
        <w:t>If there is a technical malfunction of the system, the procedure for election by means of a paper ballot will be used.</w:t>
      </w:r>
    </w:p>
    <w:p>
      <w:pPr>
        <w:pStyle w:val="Corpo"/>
        <w:ind w:left="708" w:hanging="0"/>
        <w:jc w:val="both"/>
        <w:rPr>
          <w:rFonts w:ascii="Times New Roman" w:hAnsi="Times New Roman" w:cs="Times New Roman"/>
          <w:sz w:val="24"/>
          <w:szCs w:val="24"/>
          <w:lang w:val="en-US"/>
        </w:rPr>
      </w:pPr>
      <w:r>
        <w:rPr>
          <w:rFonts w:eastAsia="Times New Roman" w:cs="Times New Roman" w:ascii="Times New Roman" w:hAnsi="Times New Roman"/>
          <w:sz w:val="24"/>
          <w:szCs w:val="24"/>
          <w:lang w:val="en-AU"/>
        </w:rPr>
        <w:t>The scrutineers will verify that the number of votes in the electronic system corresponds to the number of voters. If the number of votes exceeds the number of voters, the ballot shall be null and void; if, on the other hand, it corresponds to or is lower, the scrutiny is to begin. The secretaries will record the names as they are read out by a sc</w:t>
      </w:r>
      <w:r>
        <w:rPr>
          <w:rFonts w:eastAsia="Times New Roman" w:cs="Times New Roman" w:ascii="Times New Roman" w:hAnsi="Times New Roman"/>
          <w:sz w:val="24"/>
          <w:szCs w:val="24"/>
          <w:lang w:val="en-AU"/>
        </w:rPr>
        <w:t>r</w:t>
      </w:r>
      <w:r>
        <w:rPr>
          <w:rFonts w:eastAsia="Times New Roman" w:cs="Times New Roman" w:ascii="Times New Roman" w:hAnsi="Times New Roman"/>
          <w:sz w:val="24"/>
          <w:szCs w:val="24"/>
          <w:lang w:val="en-AU"/>
        </w:rPr>
        <w:t>utineer.”</w:t>
      </w:r>
    </w:p>
    <w:p>
      <w:pPr>
        <w:pStyle w:val="CorpoA"/>
        <w:pBdr/>
        <w:rPr>
          <w:rFonts w:ascii="Times New Roman" w:hAnsi="Times New Roman" w:eastAsia="Arial" w:cs="Times New Roman"/>
          <w:sz w:val="24"/>
          <w:szCs w:val="24"/>
          <w:highlight w:val="cyan"/>
          <w:lang w:val="en-US"/>
        </w:rPr>
      </w:pPr>
      <w:r>
        <w:rPr>
          <w:rFonts w:eastAsia="Arial" w:cs="Times New Roman" w:ascii="Times New Roman" w:hAnsi="Times New Roman"/>
          <w:sz w:val="24"/>
          <w:szCs w:val="24"/>
          <w:shd w:fill="FEFFFF" w:val="clear"/>
          <w:lang w:val="en-US"/>
        </w:rPr>
      </w:r>
    </w:p>
    <w:p>
      <w:pPr>
        <w:pStyle w:val="CorpoA"/>
        <w:pBdr/>
        <w:rPr/>
      </w:pPr>
      <w:r>
        <w:rPr>
          <w:rFonts w:cs="Arial" w:ascii="Arial" w:hAnsi="Arial"/>
          <w:b/>
          <w:bCs/>
          <w:sz w:val="24"/>
          <w:szCs w:val="24"/>
          <w:u w:val="single"/>
          <w:shd w:fill="FEFFFF" w:val="clear"/>
          <w:lang w:val="en-US"/>
        </w:rPr>
        <w:t>Deliber</w:t>
      </w:r>
      <w:r>
        <w:rPr>
          <w:rFonts w:eastAsia="Arial" w:cs="Arial" w:ascii="Arial" w:hAnsi="Arial"/>
          <w:b/>
          <w:bCs/>
          <w:sz w:val="24"/>
          <w:szCs w:val="24"/>
          <w:u w:val="single"/>
          <w:shd w:fill="FEFFFF" w:val="clear"/>
          <w:lang w:val="en-US"/>
        </w:rPr>
        <w:t>ation</w:t>
      </w:r>
    </w:p>
    <w:p>
      <w:pPr>
        <w:pStyle w:val="Corpo"/>
        <w:jc w:val="both"/>
        <w:rPr>
          <w:rFonts w:ascii="Times New Roman" w:hAnsi="Times New Roman" w:cs="Times New Roman"/>
          <w:b/>
          <w:b/>
          <w:bCs/>
          <w:sz w:val="24"/>
          <w:szCs w:val="24"/>
          <w:lang w:val="en-AU"/>
        </w:rPr>
      </w:pPr>
      <w:r>
        <w:rPr>
          <w:rFonts w:cs="Times New Roman" w:ascii="Times New Roman" w:hAnsi="Times New Roman"/>
          <w:b/>
          <w:bCs/>
          <w:sz w:val="24"/>
          <w:szCs w:val="24"/>
          <w:lang w:val="en-AU"/>
        </w:rPr>
      </w:r>
    </w:p>
    <w:p>
      <w:pPr>
        <w:pStyle w:val="Corpo"/>
        <w:jc w:val="both"/>
        <w:rPr>
          <w:rFonts w:ascii="Times New Roman" w:hAnsi="Times New Roman" w:cs="Times New Roman"/>
          <w:sz w:val="24"/>
          <w:szCs w:val="24"/>
          <w:lang w:val="en-AU"/>
        </w:rPr>
      </w:pPr>
      <w:r>
        <w:rPr>
          <w:rFonts w:cs="Times New Roman" w:ascii="Times New Roman" w:hAnsi="Times New Roman"/>
          <w:b/>
          <w:bCs/>
          <w:sz w:val="24"/>
          <w:szCs w:val="24"/>
          <w:lang w:val="en-AU"/>
        </w:rPr>
        <w:t xml:space="preserve">5. </w:t>
        <w:tab/>
        <w:t>M</w:t>
      </w:r>
      <w:r>
        <w:rPr>
          <w:rFonts w:eastAsia="Times New Roman" w:cs="Times New Roman" w:ascii="Times New Roman" w:hAnsi="Times New Roman"/>
          <w:b/>
          <w:bCs/>
          <w:sz w:val="24"/>
          <w:szCs w:val="24"/>
          <w:lang w:val="en-AU"/>
        </w:rPr>
        <w:t>anner of carrying out the Extraordinary Visitation</w:t>
      </w:r>
      <w:r>
        <w:rPr>
          <w:rFonts w:cs="Times New Roman" w:ascii="Times New Roman" w:hAnsi="Times New Roman"/>
          <w:sz w:val="24"/>
          <w:szCs w:val="24"/>
          <w:lang w:val="en-AU"/>
        </w:rPr>
        <w:t xml:space="preserve"> </w:t>
      </w:r>
      <w:r>
        <w:rPr>
          <w:rFonts w:cs="Times New Roman" w:ascii="Times New Roman" w:hAnsi="Times New Roman"/>
          <w:b/>
          <w:bCs/>
          <w:sz w:val="24"/>
          <w:szCs w:val="24"/>
          <w:lang w:val="en-AU"/>
        </w:rPr>
        <w:t>(R. 104)</w:t>
      </w:r>
    </w:p>
    <w:p>
      <w:pPr>
        <w:pStyle w:val="Corpo"/>
        <w:ind w:left="708" w:hanging="0"/>
        <w:jc w:val="both"/>
        <w:rPr>
          <w:rFonts w:ascii="Times New Roman" w:hAnsi="Times New Roman" w:cs="Times New Roman"/>
          <w:sz w:val="24"/>
          <w:szCs w:val="24"/>
          <w:lang w:val="en-AU"/>
        </w:rPr>
      </w:pPr>
      <w:r>
        <w:rPr>
          <w:rFonts w:cs="Times New Roman" w:ascii="Times New Roman" w:hAnsi="Times New Roman"/>
          <w:bCs/>
          <w:sz w:val="24"/>
          <w:szCs w:val="24"/>
          <w:lang w:val="en-AU"/>
        </w:rPr>
        <w:t>“</w:t>
      </w:r>
      <w:r>
        <w:rPr>
          <w:rFonts w:cs="Times New Roman" w:ascii="Times New Roman" w:hAnsi="Times New Roman"/>
          <w:bCs/>
          <w:sz w:val="24"/>
          <w:szCs w:val="24"/>
          <w:lang w:val="en-AU"/>
        </w:rPr>
        <w:t>The Rector Major and the General Council, at the beginning of the six-year period, will establish the times and ways for carrying out extraordinary visitations in each region, exploiting the possibilities offered by art. 104 of the General Regulations, so as to ensure, in any case,</w:t>
      </w:r>
    </w:p>
    <w:p>
      <w:pPr>
        <w:pStyle w:val="Corpo"/>
        <w:numPr>
          <w:ilvl w:val="0"/>
          <w:numId w:val="1"/>
        </w:numPr>
        <w:jc w:val="both"/>
        <w:rPr>
          <w:rFonts w:ascii="Times New Roman" w:hAnsi="Times New Roman" w:cs="Times New Roman"/>
          <w:sz w:val="24"/>
          <w:szCs w:val="24"/>
          <w:lang w:val="en-AU"/>
        </w:rPr>
      </w:pPr>
      <w:r>
        <w:rPr>
          <w:rFonts w:cs="Times New Roman" w:ascii="Times New Roman" w:hAnsi="Times New Roman"/>
          <w:bCs/>
          <w:sz w:val="24"/>
          <w:szCs w:val="24"/>
          <w:lang w:val="en-AU"/>
        </w:rPr>
        <w:t>the possibility for each confrere to have a personal chat with the delegate of the Rector Major,</w:t>
      </w:r>
    </w:p>
    <w:p>
      <w:pPr>
        <w:pStyle w:val="Corpo"/>
        <w:numPr>
          <w:ilvl w:val="0"/>
          <w:numId w:val="1"/>
        </w:numPr>
        <w:jc w:val="both"/>
        <w:rPr>
          <w:rFonts w:ascii="Times New Roman" w:hAnsi="Times New Roman" w:cs="Times New Roman"/>
          <w:sz w:val="24"/>
          <w:szCs w:val="24"/>
          <w:lang w:val="en-AU"/>
        </w:rPr>
      </w:pPr>
      <w:r>
        <w:rPr>
          <w:rFonts w:cs="Times New Roman" w:ascii="Times New Roman" w:hAnsi="Times New Roman"/>
          <w:bCs/>
          <w:sz w:val="24"/>
          <w:szCs w:val="24"/>
          <w:lang w:val="en-AU"/>
        </w:rPr>
        <w:t>knowledge of the local situations in which our mission is carried out;</w:t>
      </w:r>
    </w:p>
    <w:p>
      <w:pPr>
        <w:pStyle w:val="Corpo"/>
        <w:numPr>
          <w:ilvl w:val="0"/>
          <w:numId w:val="1"/>
        </w:numPr>
        <w:jc w:val="both"/>
        <w:rPr>
          <w:rFonts w:ascii="Times New Roman" w:hAnsi="Times New Roman" w:cs="Times New Roman"/>
          <w:sz w:val="24"/>
          <w:szCs w:val="24"/>
          <w:lang w:val="en-AU"/>
        </w:rPr>
      </w:pPr>
      <w:r>
        <w:rPr>
          <w:rFonts w:cs="Times New Roman" w:ascii="Times New Roman" w:hAnsi="Times New Roman"/>
          <w:bCs/>
          <w:sz w:val="24"/>
          <w:szCs w:val="24"/>
          <w:lang w:val="en-AU"/>
        </w:rPr>
        <w:t>the effective exercise of the powers of jurisdiction required by the nature of the visit;</w:t>
      </w:r>
    </w:p>
    <w:p>
      <w:pPr>
        <w:pStyle w:val="Corpo"/>
        <w:numPr>
          <w:ilvl w:val="0"/>
          <w:numId w:val="1"/>
        </w:numPr>
        <w:jc w:val="both"/>
        <w:rPr>
          <w:rFonts w:ascii="Times New Roman" w:hAnsi="Times New Roman" w:cs="Times New Roman"/>
          <w:sz w:val="24"/>
          <w:szCs w:val="24"/>
          <w:lang w:val="en-AU"/>
        </w:rPr>
      </w:pPr>
      <w:r>
        <w:rPr>
          <w:rFonts w:cs="Times New Roman" w:ascii="Times New Roman" w:hAnsi="Times New Roman"/>
          <w:sz w:val="24"/>
          <w:szCs w:val="24"/>
          <w:lang w:val="en-AU"/>
        </w:rPr>
        <w:t>the presence of the Regional at least at some moments during the visitation, if made by another Visitor.</w:t>
      </w:r>
    </w:p>
    <w:p>
      <w:pPr>
        <w:pStyle w:val="Corpo"/>
        <w:numPr>
          <w:ilvl w:val="0"/>
          <w:numId w:val="1"/>
        </w:numPr>
        <w:jc w:val="both"/>
        <w:rPr>
          <w:rFonts w:ascii="Times New Roman" w:hAnsi="Times New Roman" w:cs="Times New Roman"/>
          <w:sz w:val="24"/>
          <w:szCs w:val="24"/>
          <w:lang w:val="en-AU"/>
        </w:rPr>
      </w:pPr>
      <w:r>
        <w:rPr>
          <w:rFonts w:cs="Times New Roman" w:ascii="Times New Roman" w:hAnsi="Times New Roman"/>
          <w:sz w:val="24"/>
          <w:szCs w:val="24"/>
          <w:lang w:val="en-AU"/>
        </w:rPr>
        <w:t>communication between the Visitor and the Regional to ensure further accompaniment by the Regional after the visit.</w:t>
      </w:r>
    </w:p>
    <w:p>
      <w:pPr>
        <w:pStyle w:val="Corpo"/>
        <w:numPr>
          <w:ilvl w:val="0"/>
          <w:numId w:val="1"/>
        </w:numPr>
        <w:jc w:val="both"/>
        <w:rPr>
          <w:rFonts w:ascii="Times New Roman" w:hAnsi="Times New Roman" w:cs="Times New Roman"/>
          <w:sz w:val="24"/>
          <w:szCs w:val="24"/>
          <w:lang w:val="en-AU"/>
        </w:rPr>
      </w:pPr>
      <w:r>
        <w:rPr>
          <w:rFonts w:cs="Times New Roman" w:ascii="Times New Roman" w:hAnsi="Times New Roman"/>
          <w:bCs/>
          <w:sz w:val="24"/>
          <w:szCs w:val="24"/>
          <w:lang w:val="en-AU"/>
        </w:rPr>
        <w:t>adequate time for the Regional Councillor to carry out the tasks proper to his office in the service of the region and the individual provinces (C. 140 and 154; R. 135-137).”</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 w:name="Arial">
    <w:charset w:val="01"/>
    <w:family w:val="swiss"/>
    <w:pitch w:val="default"/>
  </w:font>
  <w:font w:name="Helvetica Neue">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5135"/>
    <w:pPr>
      <w:widowControl/>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f25135"/>
    <w:rPr>
      <w:u w:val="single"/>
    </w:rPr>
  </w:style>
  <w:style w:type="character" w:styleId="ListLabel1">
    <w:name w:val="ListLabel 1"/>
    <w:qFormat/>
    <w:rPr>
      <w:rFonts w:cs="OpenSymbol"/>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2">
    <w:name w:val="ListLabel 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
    <w:name w:val="ListLabel 3"/>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
    <w:name w:val="ListLabel 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
    <w:name w:val="ListLabel 5"/>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
    <w:name w:val="ListLabel 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
    <w:name w:val="ListLabel 7"/>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
    <w:name w:val="ListLabel 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
    <w:name w:val="ListLabel 9"/>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
    <w:name w:val="ListLabel 10"/>
    <w:qFormat/>
    <w:rPr>
      <w:rFonts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1">
    <w:name w:val="ListLabel 11"/>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
    <w:name w:val="ListLabel 1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
    <w:name w:val="ListLabel 13"/>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
    <w:name w:val="ListLabel 1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5">
    <w:name w:val="ListLabel 15"/>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
    <w:name w:val="ListLabel 1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7">
    <w:name w:val="ListLabel 17"/>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8">
    <w:name w:val="ListLabel 1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CorpoA" w:customStyle="1">
    <w:name w:val="Corpo A"/>
    <w:qFormat/>
    <w:rsid w:val="00f25135"/>
    <w:pPr>
      <w:widowControl/>
      <w:pBdr/>
      <w:bidi w:val="0"/>
      <w:jc w:val="left"/>
    </w:pPr>
    <w:rPr>
      <w:rFonts w:ascii="Helvetica Neue" w:hAnsi="Helvetica Neue" w:eastAsia="Arial Unicode MS" w:cs="Arial Unicode MS"/>
      <w:color w:val="000000"/>
      <w:kern w:val="0"/>
      <w:sz w:val="22"/>
      <w:szCs w:val="22"/>
      <w:u w:val="none" w:color="000000"/>
      <w:lang w:eastAsia="it-IT" w:val="it-IT" w:bidi="ar-SA"/>
    </w:rPr>
  </w:style>
  <w:style w:type="paragraph" w:styleId="Corpo" w:customStyle="1">
    <w:name w:val="Corpo"/>
    <w:qFormat/>
    <w:rsid w:val="00f25135"/>
    <w:pPr>
      <w:widowControl/>
      <w:bidi w:val="0"/>
      <w:jc w:val="left"/>
    </w:pPr>
    <w:rPr>
      <w:rFonts w:ascii="Helvetica Neue" w:hAnsi="Helvetica Neue" w:eastAsia="Arial Unicode MS" w:cs="Arial Unicode MS"/>
      <w:color w:val="000000"/>
      <w:kern w:val="0"/>
      <w:sz w:val="22"/>
      <w:szCs w:val="22"/>
      <w:lang w:eastAsia="es-ES_tradnl" w:val="it-IT" w:bidi="ar-SA"/>
      <w14:textOutline w14:w="0" w14:cap="flat" w14:cmpd="sng" w14:algn="ctr">
        <w14:noFill/>
        <w14:prstDash w14:val="solid"/>
        <w14:bevel/>
      </w14:textOutline>
    </w:rPr>
  </w:style>
  <w:style w:type="paragraph" w:styleId="ListParagraph">
    <w:name w:val="List Paragraph"/>
    <w:basedOn w:val="Normal"/>
    <w:uiPriority w:val="34"/>
    <w:qFormat/>
    <w:rsid w:val="00f25135"/>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LibreOffice/6.0.7.3$Linux_X86_64 LibreOffice_project/00m0$Build-3</Application>
  <Pages>2</Pages>
  <Words>622</Words>
  <Characters>2974</Characters>
  <CharactersWithSpaces>3569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2020-03-29T07:38:00Z</dcterms:created>
  <dc:creator>Ezhanikattu Saimi Joseph</dc:creator>
  <dc:description/>
  <dc:language>en-AU</dc:language>
  <cp:lastModifiedBy/>
  <dcterms:modified xsi:type="dcterms:W3CDTF">2020-04-05T13:46:18Z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